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38"/>
        <w:gridCol w:w="2570"/>
        <w:gridCol w:w="1654"/>
        <w:gridCol w:w="1755"/>
        <w:gridCol w:w="1959"/>
      </w:tblGrid>
      <w:tr w:rsidR="002C482B" w:rsidRPr="008D4BA1" w:rsidTr="008D4BA1">
        <w:trPr>
          <w:trHeight w:val="440"/>
        </w:trPr>
        <w:tc>
          <w:tcPr>
            <w:tcW w:w="9576" w:type="dxa"/>
            <w:gridSpan w:val="5"/>
          </w:tcPr>
          <w:p w:rsidR="002C482B" w:rsidRPr="008D4BA1" w:rsidRDefault="002C482B" w:rsidP="008D4BA1">
            <w:pPr>
              <w:spacing w:after="0" w:line="240" w:lineRule="auto"/>
              <w:jc w:val="center"/>
              <w:rPr>
                <w:sz w:val="28"/>
                <w:szCs w:val="28"/>
              </w:rPr>
            </w:pPr>
            <w:r w:rsidRPr="008D4BA1">
              <w:rPr>
                <w:b/>
                <w:sz w:val="28"/>
                <w:szCs w:val="28"/>
              </w:rPr>
              <w:t>PVREC Consortium (Dexter, Hagerman, Lake Arthur, and Loving)</w:t>
            </w:r>
          </w:p>
        </w:tc>
      </w:tr>
      <w:tr w:rsidR="002C482B" w:rsidRPr="008D4BA1" w:rsidTr="008D4BA1">
        <w:tc>
          <w:tcPr>
            <w:tcW w:w="9576" w:type="dxa"/>
            <w:gridSpan w:val="5"/>
          </w:tcPr>
          <w:p w:rsidR="002C482B" w:rsidRPr="008D4BA1" w:rsidRDefault="002C482B" w:rsidP="008D4BA1">
            <w:pPr>
              <w:spacing w:after="0" w:line="240" w:lineRule="auto"/>
              <w:jc w:val="center"/>
              <w:rPr>
                <w:sz w:val="28"/>
                <w:szCs w:val="28"/>
              </w:rPr>
            </w:pPr>
            <w:r w:rsidRPr="008D4BA1">
              <w:rPr>
                <w:b/>
                <w:sz w:val="28"/>
                <w:szCs w:val="28"/>
              </w:rPr>
              <w:t>1</w:t>
            </w:r>
            <w:r w:rsidR="00AC4290">
              <w:rPr>
                <w:b/>
                <w:sz w:val="28"/>
                <w:szCs w:val="28"/>
              </w:rPr>
              <w:t>1</w:t>
            </w:r>
            <w:r w:rsidRPr="008D4BA1">
              <w:rPr>
                <w:b/>
                <w:sz w:val="28"/>
                <w:szCs w:val="28"/>
                <w:vertAlign w:val="superscript"/>
              </w:rPr>
              <w:t>th</w:t>
            </w:r>
            <w:r w:rsidRPr="008D4BA1">
              <w:rPr>
                <w:b/>
                <w:sz w:val="28"/>
                <w:szCs w:val="28"/>
              </w:rPr>
              <w:t xml:space="preserve"> Grade Pacing Guide – Common Core Standards</w:t>
            </w:r>
          </w:p>
        </w:tc>
      </w:tr>
      <w:tr w:rsidR="002C482B" w:rsidRPr="008D4BA1" w:rsidTr="008D4BA1">
        <w:tc>
          <w:tcPr>
            <w:tcW w:w="9576" w:type="dxa"/>
            <w:gridSpan w:val="5"/>
          </w:tcPr>
          <w:p w:rsidR="002C482B" w:rsidRPr="008D4BA1" w:rsidRDefault="00AC4290" w:rsidP="008D4BA1">
            <w:pPr>
              <w:spacing w:after="0" w:line="240" w:lineRule="auto"/>
              <w:jc w:val="center"/>
              <w:rPr>
                <w:b/>
                <w:sz w:val="28"/>
                <w:szCs w:val="28"/>
              </w:rPr>
            </w:pPr>
            <w:r>
              <w:rPr>
                <w:b/>
                <w:sz w:val="28"/>
                <w:szCs w:val="28"/>
              </w:rPr>
              <w:t xml:space="preserve">Year Round </w:t>
            </w:r>
          </w:p>
        </w:tc>
      </w:tr>
      <w:tr w:rsidR="002C482B" w:rsidRPr="008D4BA1" w:rsidTr="008D4BA1">
        <w:tc>
          <w:tcPr>
            <w:tcW w:w="9576" w:type="dxa"/>
            <w:gridSpan w:val="5"/>
            <w:shd w:val="clear" w:color="auto" w:fill="D9D9D9"/>
          </w:tcPr>
          <w:p w:rsidR="002C482B" w:rsidRPr="008D4BA1" w:rsidRDefault="002C482B" w:rsidP="008D4BA1">
            <w:pPr>
              <w:spacing w:after="0" w:line="240" w:lineRule="auto"/>
              <w:rPr>
                <w:sz w:val="16"/>
                <w:szCs w:val="16"/>
              </w:rPr>
            </w:pPr>
          </w:p>
        </w:tc>
      </w:tr>
      <w:tr w:rsidR="009F4BB0" w:rsidRPr="008D4BA1" w:rsidTr="008D4BA1">
        <w:tc>
          <w:tcPr>
            <w:tcW w:w="1638" w:type="dxa"/>
          </w:tcPr>
          <w:p w:rsidR="002C482B" w:rsidRPr="008D4BA1" w:rsidRDefault="002C482B" w:rsidP="008D4BA1">
            <w:pPr>
              <w:spacing w:after="0" w:line="240" w:lineRule="auto"/>
              <w:rPr>
                <w:b/>
                <w:sz w:val="24"/>
                <w:szCs w:val="24"/>
              </w:rPr>
            </w:pPr>
            <w:r w:rsidRPr="008D4BA1">
              <w:rPr>
                <w:b/>
                <w:sz w:val="24"/>
                <w:szCs w:val="24"/>
              </w:rPr>
              <w:t>STRAND</w:t>
            </w:r>
          </w:p>
        </w:tc>
        <w:tc>
          <w:tcPr>
            <w:tcW w:w="2570" w:type="dxa"/>
          </w:tcPr>
          <w:p w:rsidR="002C482B" w:rsidRPr="008D4BA1" w:rsidRDefault="002C482B" w:rsidP="008D4BA1">
            <w:pPr>
              <w:spacing w:after="0" w:line="240" w:lineRule="auto"/>
              <w:rPr>
                <w:b/>
                <w:sz w:val="24"/>
                <w:szCs w:val="24"/>
              </w:rPr>
            </w:pPr>
            <w:r w:rsidRPr="008D4BA1">
              <w:rPr>
                <w:b/>
                <w:sz w:val="24"/>
                <w:szCs w:val="24"/>
              </w:rPr>
              <w:t>STANDARD</w:t>
            </w:r>
          </w:p>
        </w:tc>
        <w:tc>
          <w:tcPr>
            <w:tcW w:w="1654" w:type="dxa"/>
          </w:tcPr>
          <w:p w:rsidR="002C482B" w:rsidRPr="008D4BA1" w:rsidRDefault="002C482B" w:rsidP="008D4BA1">
            <w:pPr>
              <w:spacing w:after="0" w:line="240" w:lineRule="auto"/>
              <w:rPr>
                <w:b/>
                <w:sz w:val="24"/>
                <w:szCs w:val="24"/>
              </w:rPr>
            </w:pPr>
            <w:r w:rsidRPr="008D4BA1">
              <w:rPr>
                <w:b/>
                <w:sz w:val="24"/>
                <w:szCs w:val="24"/>
              </w:rPr>
              <w:t>CTE STANDARDS</w:t>
            </w:r>
          </w:p>
        </w:tc>
        <w:tc>
          <w:tcPr>
            <w:tcW w:w="1755" w:type="dxa"/>
          </w:tcPr>
          <w:p w:rsidR="002C482B" w:rsidRPr="008D4BA1" w:rsidRDefault="002C482B" w:rsidP="008D4BA1">
            <w:pPr>
              <w:spacing w:after="0" w:line="240" w:lineRule="auto"/>
              <w:rPr>
                <w:b/>
                <w:sz w:val="24"/>
                <w:szCs w:val="24"/>
              </w:rPr>
            </w:pPr>
            <w:r w:rsidRPr="008D4BA1">
              <w:rPr>
                <w:b/>
                <w:sz w:val="24"/>
                <w:szCs w:val="24"/>
              </w:rPr>
              <w:t>RESOURCE</w:t>
            </w:r>
          </w:p>
        </w:tc>
        <w:tc>
          <w:tcPr>
            <w:tcW w:w="1959" w:type="dxa"/>
          </w:tcPr>
          <w:p w:rsidR="002C482B" w:rsidRPr="008D4BA1" w:rsidRDefault="002C482B" w:rsidP="008D4BA1">
            <w:pPr>
              <w:spacing w:after="0" w:line="240" w:lineRule="auto"/>
              <w:rPr>
                <w:b/>
                <w:sz w:val="24"/>
                <w:szCs w:val="24"/>
              </w:rPr>
            </w:pPr>
            <w:r w:rsidRPr="008D4BA1">
              <w:rPr>
                <w:b/>
                <w:sz w:val="24"/>
                <w:szCs w:val="24"/>
              </w:rPr>
              <w:t>ASSESSMENT</w:t>
            </w:r>
          </w:p>
        </w:tc>
      </w:tr>
      <w:tr w:rsidR="002C482B" w:rsidRPr="008D4BA1" w:rsidTr="008D4BA1">
        <w:tc>
          <w:tcPr>
            <w:tcW w:w="9576" w:type="dxa"/>
            <w:gridSpan w:val="5"/>
            <w:shd w:val="clear" w:color="auto" w:fill="D9D9D9"/>
          </w:tcPr>
          <w:p w:rsidR="002C482B" w:rsidRPr="008D4BA1" w:rsidRDefault="002C482B" w:rsidP="008D4BA1">
            <w:pPr>
              <w:spacing w:after="0" w:line="240" w:lineRule="auto"/>
              <w:rPr>
                <w:sz w:val="16"/>
                <w:szCs w:val="16"/>
              </w:rPr>
            </w:pPr>
          </w:p>
        </w:tc>
      </w:tr>
      <w:tr w:rsidR="009F4BB0" w:rsidRPr="008D4BA1" w:rsidTr="008D4BA1">
        <w:tc>
          <w:tcPr>
            <w:tcW w:w="1638" w:type="dxa"/>
          </w:tcPr>
          <w:p w:rsidR="002C482B" w:rsidRPr="008D4BA1" w:rsidRDefault="002C482B" w:rsidP="008D4BA1">
            <w:pPr>
              <w:spacing w:after="0" w:line="240" w:lineRule="auto"/>
            </w:pPr>
            <w:r w:rsidRPr="008D4BA1">
              <w:t>Reading Literature/Informational</w:t>
            </w:r>
          </w:p>
          <w:p w:rsidR="002C482B" w:rsidRPr="008D4BA1" w:rsidRDefault="002C482B" w:rsidP="008D4BA1">
            <w:pPr>
              <w:spacing w:after="0" w:line="240" w:lineRule="auto"/>
            </w:pPr>
            <w:r w:rsidRPr="008D4BA1">
              <w:t>Text</w:t>
            </w:r>
          </w:p>
        </w:tc>
        <w:tc>
          <w:tcPr>
            <w:tcW w:w="2570" w:type="dxa"/>
          </w:tcPr>
          <w:p w:rsidR="009C02E1" w:rsidRDefault="00AC4290" w:rsidP="00AC4290">
            <w:pPr>
              <w:spacing w:after="0" w:line="240" w:lineRule="auto"/>
              <w:rPr>
                <w:rFonts w:ascii="Helvetica" w:hAnsi="Helvetica" w:cs="Helvetica"/>
                <w:color w:val="3B3B3A"/>
                <w:sz w:val="20"/>
                <w:szCs w:val="20"/>
              </w:rPr>
            </w:pPr>
            <w:bookmarkStart w:id="0" w:name="rl-11-12-10"/>
            <w:r w:rsidRPr="00AC4290">
              <w:rPr>
                <w:rFonts w:ascii="Helvetica" w:hAnsi="Helvetica" w:cs="Helvetica"/>
                <w:color w:val="8A2003"/>
                <w:sz w:val="20"/>
                <w:szCs w:val="20"/>
                <w:highlight w:val="green"/>
              </w:rPr>
              <w:t>RL.11-12.10.</w:t>
            </w:r>
            <w:bookmarkEnd w:id="0"/>
            <w:r>
              <w:rPr>
                <w:rFonts w:ascii="Helvetica" w:hAnsi="Helvetica" w:cs="Helvetica"/>
                <w:color w:val="3B3B3A"/>
                <w:sz w:val="20"/>
                <w:szCs w:val="20"/>
              </w:rPr>
              <w:t xml:space="preserve"> By the end of grade 11, read and comprehend literature, including stories, dramas, and poems, in the grades 11–CCR text complexity band proficiently, with scaffolding as needed at the high end of the range.</w:t>
            </w:r>
          </w:p>
          <w:p w:rsidR="00AC4290" w:rsidRDefault="00AC4290" w:rsidP="00AC4290">
            <w:pPr>
              <w:spacing w:after="0" w:line="240" w:lineRule="auto"/>
              <w:rPr>
                <w:rFonts w:ascii="Helvetica" w:hAnsi="Helvetica" w:cs="Helvetica"/>
                <w:color w:val="3B3B3A"/>
                <w:sz w:val="20"/>
                <w:szCs w:val="20"/>
              </w:rPr>
            </w:pPr>
          </w:p>
          <w:p w:rsidR="00AC4290" w:rsidRPr="008D4BA1" w:rsidRDefault="00AC4290" w:rsidP="00AC4290">
            <w:pPr>
              <w:spacing w:after="0" w:line="240" w:lineRule="auto"/>
              <w:rPr>
                <w:bCs/>
                <w:sz w:val="20"/>
                <w:szCs w:val="20"/>
              </w:rPr>
            </w:pPr>
            <w:bookmarkStart w:id="1" w:name="ri-11-12-10"/>
            <w:r w:rsidRPr="00AC4290">
              <w:rPr>
                <w:rFonts w:ascii="Helvetica" w:hAnsi="Helvetica" w:cs="Helvetica"/>
                <w:color w:val="8A2003"/>
                <w:sz w:val="20"/>
                <w:szCs w:val="20"/>
                <w:highlight w:val="cyan"/>
              </w:rPr>
              <w:t>RI.11-12.10.</w:t>
            </w:r>
            <w:bookmarkEnd w:id="1"/>
            <w:r>
              <w:rPr>
                <w:rFonts w:ascii="Helvetica" w:hAnsi="Helvetica" w:cs="Helvetica"/>
                <w:color w:val="3B3B3A"/>
                <w:sz w:val="20"/>
                <w:szCs w:val="20"/>
              </w:rPr>
              <w:t xml:space="preserve"> By the end of grade </w:t>
            </w:r>
            <w:proofErr w:type="gramStart"/>
            <w:r>
              <w:rPr>
                <w:rFonts w:ascii="Helvetica" w:hAnsi="Helvetica" w:cs="Helvetica"/>
                <w:color w:val="3B3B3A"/>
                <w:sz w:val="20"/>
                <w:szCs w:val="20"/>
              </w:rPr>
              <w:t>11,</w:t>
            </w:r>
            <w:proofErr w:type="gramEnd"/>
            <w:r>
              <w:rPr>
                <w:rFonts w:ascii="Helvetica" w:hAnsi="Helvetica" w:cs="Helvetica"/>
                <w:color w:val="3B3B3A"/>
                <w:sz w:val="20"/>
                <w:szCs w:val="20"/>
              </w:rPr>
              <w:t xml:space="preserve"> read and comprehend literary nonfiction in the grades 11–CCR text complexity band proficiently, with scaffolding as needed at the high end of the range.</w:t>
            </w:r>
          </w:p>
        </w:tc>
        <w:tc>
          <w:tcPr>
            <w:tcW w:w="1654" w:type="dxa"/>
          </w:tcPr>
          <w:p w:rsidR="002C482B" w:rsidRPr="008D4BA1" w:rsidRDefault="002C482B" w:rsidP="008D4BA1">
            <w:pPr>
              <w:spacing w:after="0" w:line="240" w:lineRule="auto"/>
              <w:rPr>
                <w:b/>
              </w:rPr>
            </w:pPr>
          </w:p>
        </w:tc>
        <w:tc>
          <w:tcPr>
            <w:tcW w:w="1755" w:type="dxa"/>
          </w:tcPr>
          <w:p w:rsidR="002C482B" w:rsidRDefault="00DC0AE2" w:rsidP="008D4BA1">
            <w:pPr>
              <w:spacing w:after="0" w:line="240" w:lineRule="auto"/>
            </w:pPr>
            <w:r>
              <w:t>HSTW : Literacy Across the Curriculum</w:t>
            </w:r>
          </w:p>
          <w:p w:rsidR="00DC0AE2" w:rsidRDefault="00DC0AE2" w:rsidP="008D4BA1">
            <w:pPr>
              <w:spacing w:after="0" w:line="240" w:lineRule="auto"/>
            </w:pPr>
          </w:p>
          <w:p w:rsidR="00DC0AE2" w:rsidRDefault="00DC0AE2" w:rsidP="008D4BA1">
            <w:pPr>
              <w:spacing w:after="0" w:line="240" w:lineRule="auto"/>
            </w:pPr>
            <w:r>
              <w:t>Literacy Plan</w:t>
            </w:r>
          </w:p>
          <w:p w:rsidR="00DC0AE2" w:rsidRDefault="00DC0AE2" w:rsidP="008D4BA1">
            <w:pPr>
              <w:spacing w:after="0" w:line="240" w:lineRule="auto"/>
            </w:pPr>
          </w:p>
          <w:p w:rsidR="00DC0AE2" w:rsidRDefault="00DC0AE2" w:rsidP="008D4BA1">
            <w:pPr>
              <w:spacing w:after="0" w:line="240" w:lineRule="auto"/>
            </w:pPr>
            <w:r>
              <w:t>Anthology</w:t>
            </w:r>
          </w:p>
          <w:p w:rsidR="00DC0AE2" w:rsidRDefault="00DC0AE2" w:rsidP="008D4BA1">
            <w:pPr>
              <w:spacing w:after="0" w:line="240" w:lineRule="auto"/>
            </w:pPr>
          </w:p>
          <w:p w:rsidR="00DC0AE2" w:rsidRDefault="00DC0AE2" w:rsidP="008D4BA1">
            <w:pPr>
              <w:spacing w:after="0" w:line="240" w:lineRule="auto"/>
            </w:pPr>
            <w:r>
              <w:t>Textbook</w:t>
            </w:r>
          </w:p>
          <w:p w:rsidR="00DC0AE2" w:rsidRDefault="00DC0AE2" w:rsidP="008D4BA1">
            <w:pPr>
              <w:spacing w:after="0" w:line="240" w:lineRule="auto"/>
            </w:pPr>
          </w:p>
          <w:p w:rsidR="00DC0AE2" w:rsidRDefault="00DC0AE2" w:rsidP="008D4BA1">
            <w:pPr>
              <w:spacing w:after="0" w:line="240" w:lineRule="auto"/>
            </w:pPr>
            <w:r>
              <w:t>Internet</w:t>
            </w:r>
          </w:p>
          <w:p w:rsidR="00DC0AE2" w:rsidRDefault="00DC0AE2" w:rsidP="008D4BA1">
            <w:pPr>
              <w:spacing w:after="0" w:line="240" w:lineRule="auto"/>
            </w:pPr>
          </w:p>
          <w:p w:rsidR="00DC0AE2" w:rsidRDefault="00DC0AE2" w:rsidP="008D4BA1">
            <w:pPr>
              <w:spacing w:after="0" w:line="240" w:lineRule="auto"/>
            </w:pPr>
            <w:r>
              <w:t>Library</w:t>
            </w:r>
          </w:p>
          <w:p w:rsidR="00CD2487" w:rsidRDefault="00CD2487" w:rsidP="008D4BA1">
            <w:pPr>
              <w:spacing w:after="0" w:line="240" w:lineRule="auto"/>
            </w:pPr>
          </w:p>
          <w:p w:rsidR="00CD2487" w:rsidRPr="008D4BA1" w:rsidRDefault="00CD2487" w:rsidP="008D4BA1">
            <w:pPr>
              <w:spacing w:after="0" w:line="240" w:lineRule="auto"/>
            </w:pPr>
            <w:r>
              <w:t>Novels</w:t>
            </w:r>
          </w:p>
        </w:tc>
        <w:tc>
          <w:tcPr>
            <w:tcW w:w="1959" w:type="dxa"/>
          </w:tcPr>
          <w:p w:rsidR="002C482B" w:rsidRDefault="00A40C6D" w:rsidP="008D4BA1">
            <w:pPr>
              <w:spacing w:after="0" w:line="240" w:lineRule="auto"/>
            </w:pPr>
            <w:r>
              <w:t>Summative</w:t>
            </w:r>
          </w:p>
          <w:p w:rsidR="00A40C6D" w:rsidRDefault="00A40C6D" w:rsidP="008D4BA1">
            <w:pPr>
              <w:spacing w:after="0" w:line="240" w:lineRule="auto"/>
            </w:pPr>
          </w:p>
          <w:p w:rsidR="00A40C6D" w:rsidRDefault="00A40C6D" w:rsidP="008D4BA1">
            <w:pPr>
              <w:spacing w:after="0" w:line="240" w:lineRule="auto"/>
            </w:pPr>
            <w:r>
              <w:t>Formative</w:t>
            </w:r>
          </w:p>
          <w:p w:rsidR="00A40C6D" w:rsidRDefault="00A40C6D" w:rsidP="008D4BA1">
            <w:pPr>
              <w:spacing w:after="0" w:line="240" w:lineRule="auto"/>
            </w:pPr>
          </w:p>
          <w:p w:rsidR="00A40C6D" w:rsidRDefault="00A40C6D" w:rsidP="008D4BA1">
            <w:pPr>
              <w:spacing w:after="0" w:line="240" w:lineRule="auto"/>
            </w:pPr>
            <w:r>
              <w:t>ACT</w:t>
            </w:r>
          </w:p>
          <w:p w:rsidR="00A40C6D" w:rsidRDefault="00A40C6D" w:rsidP="008D4BA1">
            <w:pPr>
              <w:spacing w:after="0" w:line="240" w:lineRule="auto"/>
            </w:pPr>
          </w:p>
          <w:p w:rsidR="00A40C6D" w:rsidRDefault="00A40C6D" w:rsidP="008D4BA1">
            <w:pPr>
              <w:spacing w:after="0" w:line="240" w:lineRule="auto"/>
            </w:pPr>
            <w:r>
              <w:t>Project-Based</w:t>
            </w:r>
          </w:p>
          <w:p w:rsidR="00A40C6D" w:rsidRDefault="00A40C6D" w:rsidP="008D4BA1">
            <w:pPr>
              <w:spacing w:after="0" w:line="240" w:lineRule="auto"/>
            </w:pPr>
          </w:p>
          <w:p w:rsidR="00A40C6D" w:rsidRPr="008D4BA1" w:rsidRDefault="00A40C6D" w:rsidP="008D4BA1">
            <w:pPr>
              <w:spacing w:after="0" w:line="240" w:lineRule="auto"/>
            </w:pPr>
            <w:r>
              <w:t>Formal (NMSBA/MAP)</w:t>
            </w:r>
          </w:p>
        </w:tc>
      </w:tr>
      <w:tr w:rsidR="009F4BB0" w:rsidRPr="008D4BA1" w:rsidTr="008D4BA1">
        <w:tc>
          <w:tcPr>
            <w:tcW w:w="1638" w:type="dxa"/>
          </w:tcPr>
          <w:p w:rsidR="002F3E26" w:rsidRPr="008D4BA1" w:rsidRDefault="002F3E26" w:rsidP="008D4BA1">
            <w:pPr>
              <w:spacing w:after="0" w:line="240" w:lineRule="auto"/>
            </w:pPr>
            <w:r w:rsidRPr="008D4BA1">
              <w:t>Writing</w:t>
            </w:r>
          </w:p>
        </w:tc>
        <w:tc>
          <w:tcPr>
            <w:tcW w:w="2570" w:type="dxa"/>
          </w:tcPr>
          <w:p w:rsidR="002F3E26" w:rsidRPr="008D4BA1" w:rsidRDefault="00AC4290" w:rsidP="00AC4290">
            <w:pPr>
              <w:spacing w:after="0" w:line="240" w:lineRule="auto"/>
            </w:pPr>
            <w:bookmarkStart w:id="2" w:name="w-11-12-10"/>
            <w:r w:rsidRPr="00AC4290">
              <w:rPr>
                <w:rFonts w:ascii="Helvetica" w:hAnsi="Helvetica" w:cs="Helvetica"/>
                <w:color w:val="8A2003"/>
                <w:sz w:val="20"/>
                <w:szCs w:val="20"/>
                <w:highlight w:val="red"/>
              </w:rPr>
              <w:t>W.11-12.10.</w:t>
            </w:r>
            <w:bookmarkEnd w:id="2"/>
            <w:r>
              <w:rPr>
                <w:rFonts w:ascii="Helvetica" w:hAnsi="Helvetica" w:cs="Helvetica"/>
                <w:color w:val="3B3B3A"/>
                <w:sz w:val="20"/>
                <w:szCs w:val="20"/>
              </w:rPr>
              <w:t xml:space="preserve"> Write routinely over extended time frames (time for research, reflection, and revision) and shorter time frames (a single sitting or a day or two) for a range of tasks, purposes</w:t>
            </w:r>
          </w:p>
        </w:tc>
        <w:tc>
          <w:tcPr>
            <w:tcW w:w="1654" w:type="dxa"/>
          </w:tcPr>
          <w:p w:rsidR="002F3E26" w:rsidRPr="008D4BA1" w:rsidRDefault="002F3E26" w:rsidP="008D4BA1">
            <w:pPr>
              <w:spacing w:after="0" w:line="240" w:lineRule="auto"/>
            </w:pPr>
          </w:p>
        </w:tc>
        <w:tc>
          <w:tcPr>
            <w:tcW w:w="1755" w:type="dxa"/>
          </w:tcPr>
          <w:p w:rsidR="00CD2487" w:rsidRDefault="00CD2487" w:rsidP="00CD2487">
            <w:pPr>
              <w:spacing w:after="0" w:line="240" w:lineRule="auto"/>
            </w:pPr>
            <w:r>
              <w:t>Step Up to Writing Curriculum</w:t>
            </w:r>
          </w:p>
          <w:p w:rsidR="002F3E26" w:rsidRDefault="002F3E26" w:rsidP="008D4BA1">
            <w:pPr>
              <w:spacing w:after="0" w:line="240" w:lineRule="auto"/>
              <w:rPr>
                <w:b/>
              </w:rPr>
            </w:pPr>
          </w:p>
          <w:p w:rsidR="00CD2487" w:rsidRDefault="00CD2487" w:rsidP="00CD2487">
            <w:pPr>
              <w:spacing w:after="0" w:line="240" w:lineRule="auto"/>
            </w:pPr>
            <w:r>
              <w:t>Textbook</w:t>
            </w:r>
          </w:p>
          <w:p w:rsidR="00CD2487" w:rsidRDefault="00CD2487" w:rsidP="00CD2487">
            <w:pPr>
              <w:spacing w:after="0" w:line="240" w:lineRule="auto"/>
            </w:pPr>
          </w:p>
          <w:p w:rsidR="00CD2487" w:rsidRDefault="00CD2487" w:rsidP="00CD2487">
            <w:pPr>
              <w:spacing w:after="0" w:line="240" w:lineRule="auto"/>
            </w:pPr>
            <w:r>
              <w:t>Internet</w:t>
            </w:r>
          </w:p>
          <w:p w:rsidR="00253ADE" w:rsidRDefault="00253ADE" w:rsidP="00CD2487">
            <w:pPr>
              <w:spacing w:after="0" w:line="240" w:lineRule="auto"/>
            </w:pPr>
          </w:p>
          <w:p w:rsidR="00253ADE" w:rsidRDefault="00253ADE" w:rsidP="00CD2487">
            <w:pPr>
              <w:spacing w:after="0" w:line="240" w:lineRule="auto"/>
            </w:pPr>
            <w:r>
              <w:t>ACE</w:t>
            </w:r>
          </w:p>
          <w:p w:rsidR="00253ADE" w:rsidRDefault="00253ADE" w:rsidP="00CD2487">
            <w:pPr>
              <w:spacing w:after="0" w:line="240" w:lineRule="auto"/>
            </w:pPr>
          </w:p>
          <w:p w:rsidR="00253ADE" w:rsidRDefault="00253ADE" w:rsidP="00CD2487">
            <w:pPr>
              <w:spacing w:after="0" w:line="240" w:lineRule="auto"/>
            </w:pPr>
            <w:r>
              <w:t>TASK Writing Prompts</w:t>
            </w:r>
          </w:p>
          <w:p w:rsidR="00CD2487" w:rsidRPr="008D4BA1" w:rsidRDefault="00CD2487" w:rsidP="008D4BA1">
            <w:pPr>
              <w:spacing w:after="0" w:line="240" w:lineRule="auto"/>
              <w:rPr>
                <w:b/>
              </w:rPr>
            </w:pPr>
          </w:p>
        </w:tc>
        <w:tc>
          <w:tcPr>
            <w:tcW w:w="1959" w:type="dxa"/>
          </w:tcPr>
          <w:p w:rsidR="002F3E26" w:rsidRPr="008D4BA1" w:rsidRDefault="002F3E26" w:rsidP="008D4BA1">
            <w:pPr>
              <w:spacing w:after="0" w:line="240" w:lineRule="auto"/>
            </w:pPr>
          </w:p>
        </w:tc>
      </w:tr>
      <w:tr w:rsidR="009F4BB0" w:rsidRPr="008D4BA1" w:rsidTr="008D4BA1">
        <w:tc>
          <w:tcPr>
            <w:tcW w:w="1638" w:type="dxa"/>
          </w:tcPr>
          <w:p w:rsidR="002F3E26" w:rsidRPr="008D4BA1" w:rsidRDefault="002F3E26" w:rsidP="008D4BA1">
            <w:pPr>
              <w:spacing w:after="0" w:line="240" w:lineRule="auto"/>
            </w:pPr>
            <w:r w:rsidRPr="008D4BA1">
              <w:t>Speaking and Listening</w:t>
            </w:r>
          </w:p>
        </w:tc>
        <w:tc>
          <w:tcPr>
            <w:tcW w:w="2570" w:type="dxa"/>
          </w:tcPr>
          <w:p w:rsidR="00AC4290" w:rsidRPr="00AC4290" w:rsidRDefault="00AC4290" w:rsidP="00AC4290">
            <w:pPr>
              <w:shd w:val="clear" w:color="auto" w:fill="FFFFFF"/>
              <w:spacing w:before="100" w:beforeAutospacing="1" w:after="150" w:line="240" w:lineRule="atLeast"/>
              <w:rPr>
                <w:rFonts w:ascii="Helvetica" w:eastAsia="Times New Roman" w:hAnsi="Helvetica" w:cs="Helvetica"/>
                <w:color w:val="3B3B3A"/>
                <w:sz w:val="20"/>
                <w:szCs w:val="20"/>
              </w:rPr>
            </w:pPr>
            <w:bookmarkStart w:id="3" w:name="sl-11-12-4"/>
            <w:r w:rsidRPr="00AC4290">
              <w:rPr>
                <w:rFonts w:ascii="Helvetica" w:eastAsia="Times New Roman" w:hAnsi="Helvetica" w:cs="Helvetica"/>
                <w:color w:val="8A2003"/>
                <w:sz w:val="20"/>
                <w:szCs w:val="20"/>
                <w:highlight w:val="yellow"/>
              </w:rPr>
              <w:t>SL.11-12.4.</w:t>
            </w:r>
            <w:bookmarkEnd w:id="3"/>
            <w:r w:rsidRPr="00AC4290">
              <w:rPr>
                <w:rFonts w:ascii="Helvetica" w:eastAsia="Times New Roman" w:hAnsi="Helvetica" w:cs="Helvetica"/>
                <w:color w:val="3B3B3A"/>
                <w:sz w:val="20"/>
                <w:szCs w:val="20"/>
              </w:rPr>
              <w:t xml:space="preserve"> Present information, findings, and supporting evidence, conveying a clear and distinct perspective, such that listeners can follow the line of reasoning, alternative or opposing perspectives are addressed, and the organization, development, substance, and style are appropriate </w:t>
            </w:r>
            <w:r w:rsidRPr="00AC4290">
              <w:rPr>
                <w:rFonts w:ascii="Helvetica" w:eastAsia="Times New Roman" w:hAnsi="Helvetica" w:cs="Helvetica"/>
                <w:color w:val="3B3B3A"/>
                <w:sz w:val="20"/>
                <w:szCs w:val="20"/>
              </w:rPr>
              <w:lastRenderedPageBreak/>
              <w:t>to purpose, audience, and a range of formal and informal tasks.</w:t>
            </w:r>
          </w:p>
          <w:p w:rsidR="002F3E26" w:rsidRDefault="00AC4290" w:rsidP="00AC4290">
            <w:pPr>
              <w:shd w:val="clear" w:color="auto" w:fill="FFFFFF"/>
              <w:spacing w:before="100" w:beforeAutospacing="1" w:after="150" w:line="240" w:lineRule="atLeast"/>
              <w:rPr>
                <w:rFonts w:ascii="Helvetica" w:eastAsia="Times New Roman" w:hAnsi="Helvetica" w:cs="Helvetica"/>
                <w:color w:val="3B3B3A"/>
                <w:sz w:val="20"/>
                <w:szCs w:val="20"/>
              </w:rPr>
            </w:pPr>
            <w:bookmarkStart w:id="4" w:name="sl-11-12-5"/>
            <w:r w:rsidRPr="00AC4290">
              <w:rPr>
                <w:rFonts w:ascii="Helvetica" w:eastAsia="Times New Roman" w:hAnsi="Helvetica" w:cs="Helvetica"/>
                <w:color w:val="8A2003"/>
                <w:sz w:val="20"/>
                <w:szCs w:val="20"/>
                <w:highlight w:val="yellow"/>
              </w:rPr>
              <w:t>SL.11-12.5.</w:t>
            </w:r>
            <w:bookmarkEnd w:id="4"/>
            <w:r w:rsidRPr="00AC4290">
              <w:rPr>
                <w:rFonts w:ascii="Helvetica" w:eastAsia="Times New Roman" w:hAnsi="Helvetica" w:cs="Helvetica"/>
                <w:color w:val="3B3B3A"/>
                <w:sz w:val="20"/>
                <w:szCs w:val="20"/>
              </w:rPr>
              <w:t xml:space="preserve"> Make strategic use of digital media (e.g., textual, graphical, audio, visual, and interactive elements) in presentations to enhance understanding of findings, reasoning, and evidence and to add interest.</w:t>
            </w:r>
          </w:p>
          <w:p w:rsidR="00AC4290" w:rsidRPr="00AC4290" w:rsidRDefault="00AC4290" w:rsidP="00AC4290">
            <w:pPr>
              <w:shd w:val="clear" w:color="auto" w:fill="FFFFFF"/>
              <w:spacing w:before="100" w:beforeAutospacing="1" w:after="150" w:line="240" w:lineRule="atLeast"/>
              <w:rPr>
                <w:rFonts w:ascii="Helvetica" w:eastAsia="Times New Roman" w:hAnsi="Helvetica" w:cs="Helvetica"/>
                <w:color w:val="3B3B3A"/>
                <w:sz w:val="20"/>
                <w:szCs w:val="20"/>
              </w:rPr>
            </w:pPr>
            <w:bookmarkStart w:id="5" w:name="sl-11-12-6"/>
            <w:r w:rsidRPr="00AC4290">
              <w:rPr>
                <w:rFonts w:ascii="Helvetica" w:hAnsi="Helvetica" w:cs="Helvetica"/>
                <w:color w:val="8A2003"/>
                <w:sz w:val="20"/>
                <w:szCs w:val="20"/>
                <w:highlight w:val="yellow"/>
              </w:rPr>
              <w:t>SL.11-12.6.</w:t>
            </w:r>
            <w:bookmarkEnd w:id="5"/>
            <w:r>
              <w:rPr>
                <w:rFonts w:ascii="Helvetica" w:hAnsi="Helvetica" w:cs="Helvetica"/>
                <w:color w:val="3B3B3A"/>
                <w:sz w:val="20"/>
                <w:szCs w:val="20"/>
              </w:rPr>
              <w:t xml:space="preserve"> Adapt speech to a variety of contexts and tasks, demonstrating a command of formal English when indicated or appropriate.</w:t>
            </w:r>
          </w:p>
        </w:tc>
        <w:tc>
          <w:tcPr>
            <w:tcW w:w="1654" w:type="dxa"/>
          </w:tcPr>
          <w:p w:rsidR="002F3E26" w:rsidRPr="008D4BA1" w:rsidRDefault="002F3E26" w:rsidP="008D4BA1">
            <w:pPr>
              <w:spacing w:after="0" w:line="240" w:lineRule="auto"/>
            </w:pPr>
          </w:p>
        </w:tc>
        <w:tc>
          <w:tcPr>
            <w:tcW w:w="1755" w:type="dxa"/>
          </w:tcPr>
          <w:p w:rsidR="002F3E26" w:rsidRDefault="00CD2487" w:rsidP="008D4BA1">
            <w:pPr>
              <w:spacing w:after="0" w:line="240" w:lineRule="auto"/>
            </w:pPr>
            <w:r>
              <w:t>Rubrics</w:t>
            </w:r>
          </w:p>
          <w:p w:rsidR="00CD2487" w:rsidRDefault="00CD2487" w:rsidP="008D4BA1">
            <w:pPr>
              <w:spacing w:after="0" w:line="240" w:lineRule="auto"/>
            </w:pPr>
          </w:p>
          <w:p w:rsidR="00CD2487" w:rsidRDefault="00CD2487" w:rsidP="008D4BA1">
            <w:pPr>
              <w:spacing w:after="0" w:line="240" w:lineRule="auto"/>
            </w:pPr>
            <w:r>
              <w:t>Prompts</w:t>
            </w:r>
          </w:p>
          <w:p w:rsidR="00CD2487" w:rsidRDefault="00CD2487" w:rsidP="008D4BA1">
            <w:pPr>
              <w:spacing w:after="0" w:line="240" w:lineRule="auto"/>
            </w:pPr>
          </w:p>
          <w:p w:rsidR="00CD2487" w:rsidRDefault="00CD2487" w:rsidP="008D4BA1">
            <w:pPr>
              <w:spacing w:after="0" w:line="240" w:lineRule="auto"/>
            </w:pPr>
            <w:r>
              <w:t>Speeches in the Anthology</w:t>
            </w:r>
          </w:p>
          <w:p w:rsidR="00CD2487" w:rsidRDefault="00CD2487" w:rsidP="008D4BA1">
            <w:pPr>
              <w:spacing w:after="0" w:line="240" w:lineRule="auto"/>
            </w:pPr>
          </w:p>
          <w:p w:rsidR="00CD2487" w:rsidRPr="008D4BA1" w:rsidRDefault="00CD2487" w:rsidP="008D4BA1">
            <w:pPr>
              <w:spacing w:after="0" w:line="240" w:lineRule="auto"/>
            </w:pPr>
            <w:r>
              <w:t>Internet</w:t>
            </w:r>
          </w:p>
        </w:tc>
        <w:tc>
          <w:tcPr>
            <w:tcW w:w="1959" w:type="dxa"/>
          </w:tcPr>
          <w:p w:rsidR="002F3E26" w:rsidRPr="008D4BA1" w:rsidRDefault="002F3E26" w:rsidP="008D4BA1">
            <w:pPr>
              <w:spacing w:after="0" w:line="240" w:lineRule="auto"/>
            </w:pPr>
          </w:p>
        </w:tc>
      </w:tr>
      <w:tr w:rsidR="009F4BB0" w:rsidRPr="008D4BA1" w:rsidTr="008D4BA1">
        <w:tc>
          <w:tcPr>
            <w:tcW w:w="1638" w:type="dxa"/>
          </w:tcPr>
          <w:p w:rsidR="002F3E26" w:rsidRPr="008D4BA1" w:rsidRDefault="002F3E26" w:rsidP="008D4BA1">
            <w:pPr>
              <w:spacing w:after="0" w:line="240" w:lineRule="auto"/>
            </w:pPr>
            <w:r w:rsidRPr="008D4BA1">
              <w:lastRenderedPageBreak/>
              <w:t>Language</w:t>
            </w:r>
          </w:p>
        </w:tc>
        <w:tc>
          <w:tcPr>
            <w:tcW w:w="2570" w:type="dxa"/>
          </w:tcPr>
          <w:p w:rsidR="00AC4290" w:rsidRDefault="00AC4290" w:rsidP="00AC4290">
            <w:pPr>
              <w:spacing w:after="0" w:line="240" w:lineRule="auto"/>
              <w:rPr>
                <w:rFonts w:ascii="Helvetica" w:hAnsi="Helvetica" w:cs="Helvetica"/>
                <w:color w:val="3B3B3A"/>
                <w:sz w:val="20"/>
                <w:szCs w:val="20"/>
              </w:rPr>
            </w:pPr>
            <w:bookmarkStart w:id="6" w:name="l-11-12-6"/>
            <w:bookmarkStart w:id="7" w:name="l-11-12-4"/>
            <w:r w:rsidRPr="00AC4290">
              <w:rPr>
                <w:rFonts w:ascii="Helvetica" w:hAnsi="Helvetica" w:cs="Helvetica"/>
                <w:color w:val="8A2003"/>
                <w:sz w:val="20"/>
                <w:szCs w:val="20"/>
                <w:highlight w:val="magenta"/>
              </w:rPr>
              <w:t>L.11-12.4.</w:t>
            </w:r>
            <w:bookmarkEnd w:id="7"/>
            <w:r>
              <w:rPr>
                <w:rFonts w:ascii="Helvetica" w:hAnsi="Helvetica" w:cs="Helvetica"/>
                <w:color w:val="3B3B3A"/>
                <w:sz w:val="20"/>
                <w:szCs w:val="20"/>
              </w:rPr>
              <w:t xml:space="preserve"> Determine or clarify the meaning of unknown and multiple-meaning words and phrases based on </w:t>
            </w:r>
            <w:r>
              <w:rPr>
                <w:rStyle w:val="Emphasis"/>
                <w:rFonts w:ascii="Helvetica" w:hAnsi="Helvetica" w:cs="Helvetica"/>
                <w:color w:val="3B3B3A"/>
                <w:sz w:val="20"/>
                <w:szCs w:val="20"/>
              </w:rPr>
              <w:t>grades 11–12 reading and content</w:t>
            </w:r>
            <w:r>
              <w:rPr>
                <w:rFonts w:ascii="Helvetica" w:hAnsi="Helvetica" w:cs="Helvetica"/>
                <w:color w:val="3B3B3A"/>
                <w:sz w:val="20"/>
                <w:szCs w:val="20"/>
              </w:rPr>
              <w:t>, choosing flexibly from a range of strategies.</w:t>
            </w:r>
          </w:p>
          <w:p w:rsidR="00AC4290" w:rsidRDefault="00AC4290" w:rsidP="00AC4290">
            <w:pPr>
              <w:spacing w:after="0" w:line="240" w:lineRule="auto"/>
              <w:rPr>
                <w:rFonts w:ascii="Helvetica" w:hAnsi="Helvetica" w:cs="Helvetica"/>
                <w:color w:val="8A2003"/>
                <w:sz w:val="20"/>
                <w:szCs w:val="20"/>
              </w:rPr>
            </w:pPr>
          </w:p>
          <w:p w:rsidR="00AC4290" w:rsidRDefault="00AC4290" w:rsidP="00AC4290">
            <w:pPr>
              <w:spacing w:after="0" w:line="240" w:lineRule="auto"/>
              <w:rPr>
                <w:rFonts w:ascii="Helvetica" w:hAnsi="Helvetica" w:cs="Helvetica"/>
                <w:color w:val="3B3B3A"/>
                <w:sz w:val="20"/>
                <w:szCs w:val="20"/>
              </w:rPr>
            </w:pPr>
            <w:bookmarkStart w:id="8" w:name="l-11-12-5"/>
            <w:r w:rsidRPr="00AC4290">
              <w:rPr>
                <w:rFonts w:ascii="Helvetica" w:hAnsi="Helvetica" w:cs="Helvetica"/>
                <w:color w:val="8A2003"/>
                <w:sz w:val="20"/>
                <w:szCs w:val="20"/>
                <w:highlight w:val="magenta"/>
              </w:rPr>
              <w:t>L.11-12.5.</w:t>
            </w:r>
            <w:bookmarkEnd w:id="8"/>
            <w:r>
              <w:rPr>
                <w:rFonts w:ascii="Helvetica" w:hAnsi="Helvetica" w:cs="Helvetica"/>
                <w:color w:val="3B3B3A"/>
                <w:sz w:val="20"/>
                <w:szCs w:val="20"/>
              </w:rPr>
              <w:t xml:space="preserve"> Demonstrate understanding of figurative language, word relationships, and nuances in word meanings.</w:t>
            </w:r>
          </w:p>
          <w:p w:rsidR="00AC4290" w:rsidRDefault="00AC4290" w:rsidP="00AC4290">
            <w:pPr>
              <w:spacing w:after="0" w:line="240" w:lineRule="auto"/>
              <w:rPr>
                <w:rFonts w:ascii="Helvetica" w:hAnsi="Helvetica" w:cs="Helvetica"/>
                <w:color w:val="3B3B3A"/>
                <w:sz w:val="20"/>
                <w:szCs w:val="20"/>
              </w:rPr>
            </w:pPr>
          </w:p>
          <w:p w:rsidR="00AC4290" w:rsidRDefault="00AC4290" w:rsidP="00AC4290">
            <w:pPr>
              <w:spacing w:after="0" w:line="240" w:lineRule="auto"/>
              <w:rPr>
                <w:rFonts w:ascii="Helvetica" w:hAnsi="Helvetica" w:cs="Helvetica"/>
                <w:color w:val="3B3B3A"/>
                <w:sz w:val="20"/>
                <w:szCs w:val="20"/>
              </w:rPr>
            </w:pPr>
            <w:r w:rsidRPr="00AC4290">
              <w:rPr>
                <w:rFonts w:ascii="Helvetica" w:hAnsi="Helvetica" w:cs="Helvetica"/>
                <w:color w:val="8A2003"/>
                <w:sz w:val="20"/>
                <w:szCs w:val="20"/>
                <w:highlight w:val="magenta"/>
              </w:rPr>
              <w:t>L.11-12.6.</w:t>
            </w:r>
            <w:bookmarkEnd w:id="6"/>
            <w:r>
              <w:rPr>
                <w:rFonts w:ascii="Helvetica" w:hAnsi="Helvetica" w:cs="Helvetica"/>
                <w:color w:val="3B3B3A"/>
                <w:sz w:val="20"/>
                <w:szCs w:val="20"/>
              </w:rPr>
              <w:t xml:space="preserve"> Acquire and use accurately general academic and domain-specific words and phrases, sufficient for </w:t>
            </w:r>
          </w:p>
          <w:p w:rsidR="002F3E26" w:rsidRPr="00AC4290" w:rsidRDefault="00AC4290" w:rsidP="00AC4290">
            <w:pPr>
              <w:spacing w:after="0" w:line="240" w:lineRule="auto"/>
              <w:rPr>
                <w:bCs/>
                <w:sz w:val="20"/>
                <w:szCs w:val="20"/>
                <w:highlight w:val="yellow"/>
              </w:rPr>
            </w:pPr>
            <w:proofErr w:type="gramStart"/>
            <w:r>
              <w:rPr>
                <w:rFonts w:ascii="Helvetica" w:hAnsi="Helvetica" w:cs="Helvetica"/>
                <w:color w:val="3B3B3A"/>
                <w:sz w:val="20"/>
                <w:szCs w:val="20"/>
              </w:rPr>
              <w:t>reading</w:t>
            </w:r>
            <w:proofErr w:type="gramEnd"/>
            <w:r>
              <w:rPr>
                <w:rFonts w:ascii="Helvetica" w:hAnsi="Helvetica" w:cs="Helvetica"/>
                <w:color w:val="3B3B3A"/>
                <w:sz w:val="20"/>
                <w:szCs w:val="20"/>
              </w:rPr>
              <w:t>, writing, speaking, and listening at the college and career readiness level; demonstrate independence in gathering vocabulary knowledge when considering a word or phrase important to comprehension or expression.</w:t>
            </w:r>
          </w:p>
        </w:tc>
        <w:tc>
          <w:tcPr>
            <w:tcW w:w="1654" w:type="dxa"/>
          </w:tcPr>
          <w:p w:rsidR="002F3E26" w:rsidRPr="008D4BA1" w:rsidRDefault="002F3E26" w:rsidP="008D4BA1">
            <w:pPr>
              <w:spacing w:after="0" w:line="240" w:lineRule="auto"/>
            </w:pPr>
          </w:p>
        </w:tc>
        <w:tc>
          <w:tcPr>
            <w:tcW w:w="1755" w:type="dxa"/>
          </w:tcPr>
          <w:p w:rsidR="002F3E26" w:rsidRDefault="00CD2487" w:rsidP="008D4BA1">
            <w:pPr>
              <w:spacing w:after="0" w:line="240" w:lineRule="auto"/>
            </w:pPr>
            <w:r>
              <w:t xml:space="preserve">Daily Grammar </w:t>
            </w:r>
          </w:p>
          <w:p w:rsidR="00CD2487" w:rsidRDefault="00CD2487" w:rsidP="008D4BA1">
            <w:pPr>
              <w:spacing w:after="0" w:line="240" w:lineRule="auto"/>
            </w:pPr>
          </w:p>
          <w:p w:rsidR="00CD2487" w:rsidRPr="008D4BA1" w:rsidRDefault="00CD2487" w:rsidP="008D4BA1">
            <w:pPr>
              <w:spacing w:after="0" w:line="240" w:lineRule="auto"/>
            </w:pPr>
            <w:r>
              <w:t>Marzano’s Vocabulary</w:t>
            </w:r>
          </w:p>
        </w:tc>
        <w:tc>
          <w:tcPr>
            <w:tcW w:w="1959" w:type="dxa"/>
          </w:tcPr>
          <w:p w:rsidR="002F3E26" w:rsidRPr="008D4BA1" w:rsidRDefault="002F3E26" w:rsidP="008D4BA1">
            <w:pPr>
              <w:spacing w:after="0" w:line="240" w:lineRule="auto"/>
            </w:pPr>
          </w:p>
        </w:tc>
      </w:tr>
    </w:tbl>
    <w:p w:rsidR="00A66174" w:rsidRDefault="00A66174"/>
    <w:p w:rsidR="009C02E1" w:rsidRDefault="009C02E1"/>
    <w:p w:rsidR="009C02E1" w:rsidRDefault="009C02E1"/>
    <w:sectPr w:rsidR="009C02E1" w:rsidSect="00A661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A82BB1"/>
    <w:multiLevelType w:val="multilevel"/>
    <w:tmpl w:val="DEC6D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2C482B"/>
    <w:rsid w:val="001B2282"/>
    <w:rsid w:val="00253ADE"/>
    <w:rsid w:val="002C482B"/>
    <w:rsid w:val="002F3E26"/>
    <w:rsid w:val="00393516"/>
    <w:rsid w:val="008D4BA1"/>
    <w:rsid w:val="00973BD9"/>
    <w:rsid w:val="009979A9"/>
    <w:rsid w:val="009C02E1"/>
    <w:rsid w:val="009F4BB0"/>
    <w:rsid w:val="00A40C6D"/>
    <w:rsid w:val="00A66174"/>
    <w:rsid w:val="00A950DA"/>
    <w:rsid w:val="00AC4290"/>
    <w:rsid w:val="00C550FC"/>
    <w:rsid w:val="00C83ED3"/>
    <w:rsid w:val="00CD2487"/>
    <w:rsid w:val="00DC0AE2"/>
    <w:rsid w:val="00E35F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17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48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A950DA"/>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uiPriority w:val="20"/>
    <w:qFormat/>
    <w:rsid w:val="00AC4290"/>
    <w:rPr>
      <w:i/>
      <w:iCs/>
    </w:rPr>
  </w:style>
</w:styles>
</file>

<file path=word/webSettings.xml><?xml version="1.0" encoding="utf-8"?>
<w:webSettings xmlns:r="http://schemas.openxmlformats.org/officeDocument/2006/relationships" xmlns:w="http://schemas.openxmlformats.org/wordprocessingml/2006/main">
  <w:divs>
    <w:div w:id="459110096">
      <w:bodyDiv w:val="1"/>
      <w:marLeft w:val="0"/>
      <w:marRight w:val="0"/>
      <w:marTop w:val="0"/>
      <w:marBottom w:val="0"/>
      <w:divBdr>
        <w:top w:val="none" w:sz="0" w:space="0" w:color="auto"/>
        <w:left w:val="none" w:sz="0" w:space="0" w:color="auto"/>
        <w:bottom w:val="none" w:sz="0" w:space="0" w:color="auto"/>
        <w:right w:val="none" w:sz="0" w:space="0" w:color="auto"/>
      </w:divBdr>
      <w:divsChild>
        <w:div w:id="5059251">
          <w:marLeft w:val="0"/>
          <w:marRight w:val="0"/>
          <w:marTop w:val="0"/>
          <w:marBottom w:val="0"/>
          <w:divBdr>
            <w:top w:val="none" w:sz="0" w:space="0" w:color="auto"/>
            <w:left w:val="none" w:sz="0" w:space="0" w:color="auto"/>
            <w:bottom w:val="none" w:sz="0" w:space="0" w:color="auto"/>
            <w:right w:val="none" w:sz="0" w:space="0" w:color="auto"/>
          </w:divBdr>
          <w:divsChild>
            <w:div w:id="1986620440">
              <w:marLeft w:val="0"/>
              <w:marRight w:val="0"/>
              <w:marTop w:val="0"/>
              <w:marBottom w:val="0"/>
              <w:divBdr>
                <w:top w:val="none" w:sz="0" w:space="0" w:color="auto"/>
                <w:left w:val="none" w:sz="0" w:space="0" w:color="auto"/>
                <w:bottom w:val="none" w:sz="0" w:space="0" w:color="auto"/>
                <w:right w:val="none" w:sz="0" w:space="0" w:color="auto"/>
              </w:divBdr>
              <w:divsChild>
                <w:div w:id="180364710">
                  <w:marLeft w:val="0"/>
                  <w:marRight w:val="195"/>
                  <w:marTop w:val="0"/>
                  <w:marBottom w:val="0"/>
                  <w:divBdr>
                    <w:top w:val="none" w:sz="0" w:space="0" w:color="auto"/>
                    <w:left w:val="none" w:sz="0" w:space="0" w:color="auto"/>
                    <w:bottom w:val="none" w:sz="0" w:space="0" w:color="auto"/>
                    <w:right w:val="none" w:sz="0" w:space="0" w:color="auto"/>
                  </w:divBdr>
                  <w:divsChild>
                    <w:div w:id="1816945664">
                      <w:marLeft w:val="0"/>
                      <w:marRight w:val="0"/>
                      <w:marTop w:val="0"/>
                      <w:marBottom w:val="0"/>
                      <w:divBdr>
                        <w:top w:val="none" w:sz="0" w:space="0" w:color="auto"/>
                        <w:left w:val="none" w:sz="0" w:space="0" w:color="auto"/>
                        <w:bottom w:val="none" w:sz="0" w:space="0" w:color="auto"/>
                        <w:right w:val="none" w:sz="0" w:space="0" w:color="auto"/>
                      </w:divBdr>
                      <w:divsChild>
                        <w:div w:id="98076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DCSD</Company>
  <LinksUpToDate>false</LinksUpToDate>
  <CharactersWithSpaces>2528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hardtt</dc:creator>
  <cp:keywords/>
  <cp:lastModifiedBy>everittj</cp:lastModifiedBy>
  <cp:revision>2</cp:revision>
  <dcterms:created xsi:type="dcterms:W3CDTF">2012-01-09T18:23:00Z</dcterms:created>
  <dcterms:modified xsi:type="dcterms:W3CDTF">2012-01-09T18:23:00Z</dcterms:modified>
</cp:coreProperties>
</file>